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3D" w:rsidRPr="00194D3D" w:rsidRDefault="006C3244" w:rsidP="00194D3D">
      <w:pPr>
        <w:tabs>
          <w:tab w:val="left" w:pos="1080"/>
        </w:tabs>
        <w:ind w:left="7371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16 Ιουλίου</w:t>
      </w:r>
      <w:r w:rsidR="00194D3D" w:rsidRPr="00551A42">
        <w:rPr>
          <w:rFonts w:cs="Arial"/>
          <w:b/>
          <w:bCs/>
          <w:sz w:val="22"/>
          <w:szCs w:val="22"/>
        </w:rPr>
        <w:t xml:space="preserve"> 2020</w:t>
      </w:r>
    </w:p>
    <w:p w:rsidR="00194D3D" w:rsidRPr="00194D3D" w:rsidRDefault="00194D3D" w:rsidP="002D13E6">
      <w:pPr>
        <w:tabs>
          <w:tab w:val="left" w:pos="1080"/>
        </w:tabs>
        <w:rPr>
          <w:rFonts w:cs="Arial"/>
          <w:b/>
          <w:bCs/>
          <w:sz w:val="22"/>
          <w:szCs w:val="22"/>
        </w:rPr>
      </w:pPr>
    </w:p>
    <w:p w:rsidR="00194D3D" w:rsidRPr="00194D3D" w:rsidRDefault="00194D3D" w:rsidP="00194D3D">
      <w:pPr>
        <w:tabs>
          <w:tab w:val="left" w:pos="1418"/>
        </w:tabs>
        <w:spacing w:line="280" w:lineRule="atLeast"/>
        <w:jc w:val="center"/>
        <w:rPr>
          <w:b/>
          <w:sz w:val="22"/>
          <w:szCs w:val="22"/>
          <w:u w:val="single"/>
        </w:rPr>
      </w:pPr>
      <w:r w:rsidRPr="00194D3D">
        <w:rPr>
          <w:b/>
          <w:sz w:val="22"/>
          <w:szCs w:val="22"/>
          <w:u w:val="single"/>
        </w:rPr>
        <w:t>Συγκεντρωτικά στοιχεία για τον Κυπριακό τραπεζικό τομέα και των εταιρειών εξαγοράς πιστώσεων σχετικά με τις χορηγήσεις των οποίων οι δό</w:t>
      </w:r>
      <w:r w:rsidR="00F74397">
        <w:rPr>
          <w:b/>
          <w:sz w:val="22"/>
          <w:szCs w:val="22"/>
          <w:u w:val="single"/>
        </w:rPr>
        <w:t xml:space="preserve">σεις έχουν ανασταλεί, βάσει του </w:t>
      </w:r>
      <w:r w:rsidRPr="00194D3D">
        <w:rPr>
          <w:b/>
          <w:sz w:val="22"/>
          <w:szCs w:val="22"/>
          <w:u w:val="single"/>
        </w:rPr>
        <w:t>σχετικού Διατάγματος του Υπουργού Οικονομικών</w:t>
      </w:r>
    </w:p>
    <w:p w:rsidR="00194D3D" w:rsidRPr="00194D3D" w:rsidRDefault="00194D3D" w:rsidP="00194D3D">
      <w:pPr>
        <w:tabs>
          <w:tab w:val="left" w:pos="1418"/>
        </w:tabs>
        <w:spacing w:line="280" w:lineRule="atLeast"/>
        <w:jc w:val="center"/>
        <w:rPr>
          <w:b/>
          <w:sz w:val="22"/>
          <w:szCs w:val="22"/>
          <w:u w:val="single"/>
        </w:rPr>
      </w:pPr>
      <w:r w:rsidRPr="00194D3D">
        <w:rPr>
          <w:b/>
          <w:sz w:val="22"/>
          <w:szCs w:val="22"/>
          <w:u w:val="single"/>
        </w:rPr>
        <w:t xml:space="preserve">με ημερομηνία αναφοράς </w:t>
      </w:r>
      <w:r w:rsidR="006C3244">
        <w:rPr>
          <w:b/>
          <w:sz w:val="22"/>
          <w:szCs w:val="22"/>
          <w:u w:val="single"/>
        </w:rPr>
        <w:t>19</w:t>
      </w:r>
      <w:r w:rsidR="00E665D2" w:rsidRPr="0076497E">
        <w:rPr>
          <w:b/>
          <w:sz w:val="22"/>
          <w:szCs w:val="22"/>
          <w:u w:val="single"/>
        </w:rPr>
        <w:t xml:space="preserve"> </w:t>
      </w:r>
      <w:r w:rsidR="00E665D2">
        <w:rPr>
          <w:b/>
          <w:sz w:val="22"/>
          <w:szCs w:val="22"/>
          <w:u w:val="single"/>
        </w:rPr>
        <w:t>Ιουνίου</w:t>
      </w:r>
      <w:r w:rsidR="002D13E6">
        <w:rPr>
          <w:b/>
          <w:sz w:val="22"/>
          <w:szCs w:val="22"/>
          <w:u w:val="single"/>
        </w:rPr>
        <w:t xml:space="preserve"> 2020</w:t>
      </w:r>
    </w:p>
    <w:p w:rsidR="00194D3D" w:rsidRPr="00194D3D" w:rsidRDefault="00194D3D" w:rsidP="00194D3D">
      <w:pPr>
        <w:tabs>
          <w:tab w:val="left" w:pos="1418"/>
        </w:tabs>
        <w:jc w:val="both"/>
        <w:rPr>
          <w:sz w:val="22"/>
          <w:szCs w:val="22"/>
        </w:rPr>
      </w:pPr>
    </w:p>
    <w:p w:rsidR="00194D3D" w:rsidRPr="00194D3D" w:rsidRDefault="00194D3D" w:rsidP="00194D3D">
      <w:pPr>
        <w:tabs>
          <w:tab w:val="left" w:pos="1418"/>
        </w:tabs>
        <w:jc w:val="both"/>
        <w:rPr>
          <w:sz w:val="22"/>
          <w:szCs w:val="22"/>
        </w:rPr>
      </w:pPr>
      <w:r w:rsidRPr="00194D3D">
        <w:rPr>
          <w:sz w:val="22"/>
          <w:szCs w:val="22"/>
        </w:rPr>
        <w:t xml:space="preserve">Η Κεντρική Τράπεζα της Κύπρου (ΚΤΚ) ανάρτησε σήμερα στην ιστοσελίδα της </w:t>
      </w:r>
      <w:proofErr w:type="spellStart"/>
      <w:r w:rsidRPr="00194D3D">
        <w:rPr>
          <w:sz w:val="22"/>
          <w:szCs w:val="22"/>
        </w:rPr>
        <w:t>επικαιροποιημένα</w:t>
      </w:r>
      <w:proofErr w:type="spellEnd"/>
      <w:r w:rsidRPr="00194D3D">
        <w:rPr>
          <w:sz w:val="22"/>
          <w:szCs w:val="22"/>
        </w:rPr>
        <w:t xml:space="preserve"> συγκεντρωτικά στοιχεία για τον Κυπριακό τραπεζικό τομέα και τ</w:t>
      </w:r>
      <w:r w:rsidR="00F74397">
        <w:rPr>
          <w:sz w:val="22"/>
          <w:szCs w:val="22"/>
        </w:rPr>
        <w:t>ις</w:t>
      </w:r>
      <w:r w:rsidRPr="00194D3D">
        <w:rPr>
          <w:sz w:val="22"/>
          <w:szCs w:val="22"/>
        </w:rPr>
        <w:t xml:space="preserve"> εταιρει</w:t>
      </w:r>
      <w:r w:rsidR="00F74397">
        <w:rPr>
          <w:sz w:val="22"/>
          <w:szCs w:val="22"/>
        </w:rPr>
        <w:t>ες</w:t>
      </w:r>
      <w:r w:rsidRPr="00194D3D">
        <w:rPr>
          <w:sz w:val="22"/>
          <w:szCs w:val="22"/>
        </w:rPr>
        <w:t xml:space="preserve"> εξαγοράς πιστώσεων σχετικά με τις χορηγήσεις των οποίων οι δόσεις έχουν ανασταλεί, βάσει του σχετικού Διατάγματος του Υπουργού </w:t>
      </w:r>
      <w:r w:rsidRPr="007400FE">
        <w:rPr>
          <w:sz w:val="22"/>
          <w:szCs w:val="22"/>
        </w:rPr>
        <w:t>Οικονομικών (</w:t>
      </w:r>
      <w:hyperlink r:id="rId6" w:history="1">
        <w:r w:rsidR="007400FE" w:rsidRPr="007400FE">
          <w:rPr>
            <w:rStyle w:val="Hyperlink"/>
            <w:sz w:val="22"/>
            <w:szCs w:val="22"/>
          </w:rPr>
          <w:t>Συγκεντρωτικά Στοιχεία</w:t>
        </w:r>
      </w:hyperlink>
      <w:r w:rsidR="007400FE">
        <w:rPr>
          <w:sz w:val="22"/>
          <w:szCs w:val="22"/>
        </w:rPr>
        <w:t>).</w:t>
      </w:r>
    </w:p>
    <w:p w:rsidR="00194D3D" w:rsidRPr="00194D3D" w:rsidRDefault="00194D3D" w:rsidP="00194D3D">
      <w:pPr>
        <w:tabs>
          <w:tab w:val="left" w:pos="1418"/>
        </w:tabs>
        <w:jc w:val="both"/>
        <w:rPr>
          <w:sz w:val="22"/>
          <w:szCs w:val="22"/>
        </w:rPr>
      </w:pPr>
    </w:p>
    <w:p w:rsidR="00194D3D" w:rsidRDefault="00194D3D" w:rsidP="00194D3D">
      <w:pPr>
        <w:tabs>
          <w:tab w:val="left" w:pos="1440"/>
        </w:tabs>
        <w:jc w:val="both"/>
        <w:rPr>
          <w:b/>
          <w:color w:val="000000" w:themeColor="text1"/>
          <w:sz w:val="22"/>
          <w:szCs w:val="22"/>
        </w:rPr>
      </w:pPr>
      <w:r w:rsidRPr="00194D3D">
        <w:rPr>
          <w:rFonts w:cs="Arial"/>
          <w:color w:val="000000"/>
          <w:sz w:val="22"/>
          <w:szCs w:val="22"/>
        </w:rPr>
        <w:t xml:space="preserve">Παρατίθενται πιο κάτω συνοπτικοί πίνακες που παρουσιάζουν </w:t>
      </w:r>
      <w:r>
        <w:rPr>
          <w:rFonts w:cs="Arial"/>
          <w:color w:val="000000"/>
          <w:sz w:val="22"/>
          <w:szCs w:val="22"/>
        </w:rPr>
        <w:t xml:space="preserve">συγκεντρωτικά </w:t>
      </w:r>
      <w:r w:rsidRPr="00194D3D">
        <w:rPr>
          <w:rFonts w:cs="Arial"/>
          <w:color w:val="000000"/>
          <w:sz w:val="22"/>
          <w:szCs w:val="22"/>
        </w:rPr>
        <w:t>την κατ</w:t>
      </w:r>
      <w:r>
        <w:rPr>
          <w:rFonts w:cs="Arial"/>
          <w:color w:val="000000"/>
          <w:sz w:val="22"/>
          <w:szCs w:val="22"/>
        </w:rPr>
        <w:t>άσταση</w:t>
      </w:r>
      <w:r w:rsidRPr="00194D3D">
        <w:rPr>
          <w:rFonts w:cs="Arial"/>
          <w:color w:val="000000"/>
          <w:sz w:val="22"/>
          <w:szCs w:val="22"/>
        </w:rPr>
        <w:t xml:space="preserve"> των </w:t>
      </w:r>
      <w:r>
        <w:rPr>
          <w:rFonts w:cs="Arial"/>
          <w:color w:val="000000"/>
          <w:sz w:val="22"/>
          <w:szCs w:val="22"/>
        </w:rPr>
        <w:t xml:space="preserve">χορηγήσεων </w:t>
      </w:r>
      <w:r w:rsidRPr="00194D3D">
        <w:rPr>
          <w:rFonts w:cs="Arial"/>
          <w:color w:val="000000"/>
          <w:sz w:val="22"/>
          <w:szCs w:val="22"/>
        </w:rPr>
        <w:t>των οποίων οι δόσεις έχουν ανασταλεί</w:t>
      </w:r>
      <w:r>
        <w:rPr>
          <w:b/>
          <w:color w:val="000000" w:themeColor="text1"/>
          <w:sz w:val="22"/>
          <w:szCs w:val="22"/>
        </w:rPr>
        <w:t>.</w:t>
      </w:r>
    </w:p>
    <w:p w:rsidR="00194D3D" w:rsidRPr="00194D3D" w:rsidRDefault="00194D3D" w:rsidP="00194D3D">
      <w:pPr>
        <w:tabs>
          <w:tab w:val="left" w:pos="1440"/>
        </w:tabs>
        <w:jc w:val="both"/>
        <w:rPr>
          <w:b/>
          <w:color w:val="000000" w:themeColor="text1"/>
          <w:sz w:val="22"/>
          <w:szCs w:val="22"/>
        </w:rPr>
      </w:pPr>
    </w:p>
    <w:p w:rsidR="00C951B7" w:rsidRDefault="006938E3" w:rsidP="002D13E6">
      <w:pPr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Γράφημ</w:t>
      </w:r>
      <w:r w:rsidR="00194D3D">
        <w:rPr>
          <w:rFonts w:cs="Arial"/>
          <w:b/>
          <w:color w:val="000000" w:themeColor="text1"/>
          <w:sz w:val="22"/>
          <w:szCs w:val="22"/>
        </w:rPr>
        <w:t>α</w:t>
      </w:r>
      <w:r w:rsidR="00194D3D" w:rsidRPr="00194D3D">
        <w:rPr>
          <w:rFonts w:cs="Arial"/>
          <w:b/>
          <w:color w:val="000000" w:themeColor="text1"/>
          <w:sz w:val="22"/>
          <w:szCs w:val="22"/>
        </w:rPr>
        <w:t xml:space="preserve"> 1: </w:t>
      </w:r>
      <w:r w:rsidR="002D13E6">
        <w:rPr>
          <w:rFonts w:cs="Arial"/>
          <w:b/>
          <w:color w:val="000000" w:themeColor="text1"/>
          <w:sz w:val="22"/>
          <w:szCs w:val="22"/>
        </w:rPr>
        <w:t xml:space="preserve">Συγκεντρωτικά στοιχεία των εγκεκριμένων χορηγήσεων των οποίων έχουν </w:t>
      </w:r>
    </w:p>
    <w:p w:rsidR="003317D1" w:rsidRDefault="002D13E6" w:rsidP="002D13E6">
      <w:pPr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ανασταλεί οι δόσεις ανά αντισυμβαλλόμενο </w:t>
      </w:r>
    </w:p>
    <w:p w:rsidR="0076497E" w:rsidRPr="0076497E" w:rsidRDefault="006C3244" w:rsidP="002D13E6">
      <w:pPr>
        <w:rPr>
          <w:rFonts w:cs="Arial"/>
          <w:b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2A121291" wp14:editId="6EB5E8A0">
            <wp:extent cx="6495415" cy="2348179"/>
            <wp:effectExtent l="0" t="0" r="635" b="146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13E6" w:rsidRPr="002D13E6" w:rsidRDefault="002D13E6" w:rsidP="002D13E6">
      <w:pPr>
        <w:rPr>
          <w:rFonts w:cs="Arial"/>
          <w:b/>
          <w:color w:val="000000" w:themeColor="text1"/>
          <w:sz w:val="16"/>
          <w:szCs w:val="16"/>
        </w:rPr>
      </w:pPr>
      <w:r w:rsidRPr="002D13E6">
        <w:rPr>
          <w:rFonts w:cs="Arial"/>
          <w:b/>
          <w:color w:val="000000" w:themeColor="text1"/>
          <w:sz w:val="16"/>
          <w:szCs w:val="16"/>
        </w:rPr>
        <w:t>Πηγή: ΚΤΚ</w:t>
      </w:r>
    </w:p>
    <w:p w:rsidR="002D13E6" w:rsidRDefault="002D13E6" w:rsidP="002D13E6">
      <w:pPr>
        <w:rPr>
          <w:rFonts w:cs="Arial"/>
          <w:b/>
          <w:color w:val="000000" w:themeColor="text1"/>
          <w:sz w:val="18"/>
          <w:szCs w:val="18"/>
        </w:rPr>
      </w:pPr>
    </w:p>
    <w:p w:rsidR="002D13E6" w:rsidRPr="002D13E6" w:rsidRDefault="006938E3" w:rsidP="002D13E6">
      <w:pPr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Γράφημα</w:t>
      </w:r>
      <w:r w:rsidR="002D13E6">
        <w:rPr>
          <w:rFonts w:cs="Arial"/>
          <w:b/>
          <w:color w:val="000000" w:themeColor="text1"/>
          <w:sz w:val="22"/>
          <w:szCs w:val="22"/>
        </w:rPr>
        <w:t xml:space="preserve"> 2</w:t>
      </w:r>
      <w:r w:rsidR="002D13E6" w:rsidRPr="00194D3D">
        <w:rPr>
          <w:rFonts w:cs="Arial"/>
          <w:b/>
          <w:color w:val="000000" w:themeColor="text1"/>
          <w:sz w:val="22"/>
          <w:szCs w:val="22"/>
        </w:rPr>
        <w:t xml:space="preserve">: </w:t>
      </w:r>
      <w:r w:rsidR="002D13E6">
        <w:rPr>
          <w:rFonts w:cs="Arial"/>
          <w:b/>
          <w:color w:val="000000" w:themeColor="text1"/>
          <w:sz w:val="22"/>
          <w:szCs w:val="22"/>
        </w:rPr>
        <w:t>Συγκεντρωτικά στοιχεία των εγκεκριμένων χορηγήσεων των οποίων έχουν ανασταλεί οι δόσεις ανά οικονομική δραστηριότητα</w:t>
      </w:r>
    </w:p>
    <w:p w:rsidR="002D13E6" w:rsidRDefault="006C3244" w:rsidP="002D13E6">
      <w:pPr>
        <w:rPr>
          <w:rFonts w:cs="Arial"/>
          <w:b/>
          <w:color w:val="000000" w:themeColor="text1"/>
          <w:sz w:val="18"/>
          <w:szCs w:val="18"/>
        </w:rPr>
      </w:pPr>
      <w:bookmarkStart w:id="0" w:name="_GoBack"/>
      <w:r>
        <w:rPr>
          <w:noProof/>
        </w:rPr>
        <w:drawing>
          <wp:inline distT="0" distB="0" distL="0" distR="0" wp14:anchorId="0BC4319B" wp14:editId="4DA38140">
            <wp:extent cx="6480175" cy="3401568"/>
            <wp:effectExtent l="0" t="0" r="15875" b="88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2D13E6" w:rsidRPr="002D13E6" w:rsidRDefault="002D13E6" w:rsidP="002D13E6">
      <w:pPr>
        <w:rPr>
          <w:rFonts w:cs="Arial"/>
          <w:b/>
          <w:color w:val="000000" w:themeColor="text1"/>
          <w:sz w:val="16"/>
          <w:szCs w:val="16"/>
        </w:rPr>
      </w:pPr>
      <w:r w:rsidRPr="002D13E6">
        <w:rPr>
          <w:rFonts w:cs="Arial"/>
          <w:b/>
          <w:color w:val="000000" w:themeColor="text1"/>
          <w:sz w:val="16"/>
          <w:szCs w:val="16"/>
        </w:rPr>
        <w:t>Πηγή: ΚΤΚ</w:t>
      </w:r>
    </w:p>
    <w:sectPr w:rsidR="002D13E6" w:rsidRPr="002D13E6" w:rsidSect="00194D3D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567" w:left="851" w:header="720" w:footer="720" w:gutter="0"/>
      <w:paperSrc w:first="2" w:other="2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9B" w:rsidRDefault="0071329B">
      <w:r>
        <w:separator/>
      </w:r>
    </w:p>
  </w:endnote>
  <w:endnote w:type="continuationSeparator" w:id="0">
    <w:p w:rsidR="0071329B" w:rsidRDefault="0071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D1" w:rsidRDefault="003317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7D1" w:rsidRDefault="00331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D1" w:rsidRPr="003317D1" w:rsidRDefault="003317D1">
    <w:pPr>
      <w:pStyle w:val="Footer"/>
      <w:framePr w:wrap="around" w:vAnchor="text" w:hAnchor="margin" w:xAlign="center" w:y="1"/>
      <w:rPr>
        <w:rStyle w:val="PageNumber"/>
        <w:b/>
        <w:sz w:val="20"/>
      </w:rPr>
    </w:pPr>
    <w:r w:rsidRPr="003317D1">
      <w:rPr>
        <w:rStyle w:val="PageNumber"/>
        <w:sz w:val="20"/>
      </w:rPr>
      <w:fldChar w:fldCharType="begin"/>
    </w:r>
    <w:r w:rsidRPr="003317D1">
      <w:rPr>
        <w:rStyle w:val="PageNumber"/>
        <w:sz w:val="20"/>
      </w:rPr>
      <w:instrText xml:space="preserve">PAGE  </w:instrText>
    </w:r>
    <w:r w:rsidRPr="003317D1">
      <w:rPr>
        <w:rStyle w:val="PageNumber"/>
        <w:sz w:val="20"/>
      </w:rPr>
      <w:fldChar w:fldCharType="separate"/>
    </w:r>
    <w:r w:rsidR="006C3244">
      <w:rPr>
        <w:rStyle w:val="PageNumber"/>
        <w:noProof/>
        <w:sz w:val="20"/>
      </w:rPr>
      <w:t>2</w:t>
    </w:r>
    <w:r w:rsidRPr="003317D1">
      <w:rPr>
        <w:rStyle w:val="PageNumber"/>
        <w:sz w:val="20"/>
      </w:rPr>
      <w:fldChar w:fldCharType="end"/>
    </w:r>
  </w:p>
  <w:p w:rsidR="003317D1" w:rsidRDefault="00331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9B" w:rsidRDefault="0071329B">
      <w:r>
        <w:separator/>
      </w:r>
    </w:p>
  </w:footnote>
  <w:footnote w:type="continuationSeparator" w:id="0">
    <w:p w:rsidR="0071329B" w:rsidRDefault="0071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D1" w:rsidRPr="00350FB8" w:rsidRDefault="003317D1" w:rsidP="00350FB8">
    <w:pPr>
      <w:spacing w:line="240" w:lineRule="exact"/>
      <w:rPr>
        <w:rFonts w:ascii="Garamond" w:hAnsi="Garamond"/>
        <w:b/>
        <w:caps/>
        <w:sz w:val="24"/>
        <w:szCs w:val="24"/>
      </w:rPr>
    </w:pPr>
    <w:r w:rsidRPr="00350FB8">
      <w:rPr>
        <w:rFonts w:ascii="Garamond" w:hAnsi="Garamond"/>
        <w:b/>
        <w:caps/>
        <w:sz w:val="24"/>
        <w:szCs w:val="24"/>
      </w:rPr>
      <w:t>κεντρικη τραπεζα τησ κ</w:t>
    </w:r>
    <w:r w:rsidRPr="00350FB8">
      <w:rPr>
        <w:rFonts w:ascii="Garamond" w:hAnsi="Garamond"/>
        <w:b/>
        <w:caps/>
        <w:sz w:val="24"/>
        <w:szCs w:val="24"/>
        <w:lang w:val="en-GB"/>
      </w:rPr>
      <w:t>y</w:t>
    </w:r>
    <w:r w:rsidRPr="00350FB8">
      <w:rPr>
        <w:rFonts w:ascii="Garamond" w:hAnsi="Garamond"/>
        <w:b/>
        <w:caps/>
        <w:sz w:val="24"/>
        <w:szCs w:val="24"/>
      </w:rPr>
      <w:t>προ</w:t>
    </w:r>
    <w:r w:rsidRPr="00350FB8">
      <w:rPr>
        <w:rFonts w:ascii="Garamond" w:hAnsi="Garamond"/>
        <w:b/>
        <w:caps/>
        <w:sz w:val="24"/>
        <w:szCs w:val="24"/>
        <w:lang w:val="en-GB"/>
      </w:rPr>
      <w:t>y</w:t>
    </w:r>
  </w:p>
  <w:p w:rsidR="003317D1" w:rsidRPr="00350FB8" w:rsidRDefault="003317D1" w:rsidP="00350FB8">
    <w:pPr>
      <w:spacing w:after="360" w:line="240" w:lineRule="exact"/>
      <w:ind w:right="4820"/>
      <w:jc w:val="center"/>
      <w:rPr>
        <w:rFonts w:ascii="Garamond" w:hAnsi="Garamond"/>
        <w:b/>
        <w:caps/>
        <w:sz w:val="24"/>
        <w:szCs w:val="24"/>
        <w:lang w:val="en-GB"/>
      </w:rPr>
    </w:pPr>
    <w:r w:rsidRPr="00350FB8">
      <w:rPr>
        <w:rFonts w:ascii="Garamond" w:hAnsi="Garamond" w:cs="Arial"/>
        <w:caps/>
        <w:sz w:val="16"/>
        <w:szCs w:val="16"/>
      </w:rPr>
      <w:t>ευρωσ</w:t>
    </w:r>
    <w:r w:rsidRPr="00350FB8">
      <w:rPr>
        <w:rFonts w:ascii="Garamond" w:hAnsi="Garamond" w:cs="Arial"/>
        <w:caps/>
        <w:sz w:val="16"/>
        <w:szCs w:val="16"/>
        <w:lang w:val="en-GB"/>
      </w:rPr>
      <w:t>y</w:t>
    </w:r>
    <w:r w:rsidRPr="00350FB8">
      <w:rPr>
        <w:rFonts w:ascii="Garamond" w:hAnsi="Garamond" w:cs="Arial"/>
        <w:caps/>
        <w:sz w:val="16"/>
        <w:szCs w:val="16"/>
      </w:rPr>
      <w:t>στημα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D1" w:rsidRPr="00891100" w:rsidRDefault="003317D1" w:rsidP="00496EC0">
    <w:pPr>
      <w:pStyle w:val="CBCHeading"/>
      <w:widowControl w:val="0"/>
      <w:spacing w:after="0"/>
      <w:ind w:right="119"/>
      <w:rPr>
        <w:rFonts w:ascii="Garamond" w:hAnsi="Garamond" w:cs="Arial"/>
        <w:spacing w:val="12"/>
        <w:sz w:val="26"/>
        <w:szCs w:val="26"/>
      </w:rPr>
    </w:pPr>
    <w:r>
      <w:rPr>
        <w:rFonts w:ascii="Garamond" w:hAnsi="Garamond" w:cs="Arial"/>
        <w:spacing w:val="12"/>
        <w:sz w:val="26"/>
        <w:szCs w:val="26"/>
      </w:rPr>
      <w:t>ΚΕΝΤΡΙΚΗ ΤΡΑΠΕΖΑ ΤΗΣ Κ</w:t>
    </w:r>
    <w:r>
      <w:rPr>
        <w:rFonts w:ascii="Garamond" w:hAnsi="Garamond" w:cs="Arial"/>
        <w:spacing w:val="12"/>
        <w:sz w:val="26"/>
        <w:szCs w:val="26"/>
        <w:lang w:val="en-GB"/>
      </w:rPr>
      <w:t>Y</w:t>
    </w:r>
    <w:r>
      <w:rPr>
        <w:rFonts w:ascii="Garamond" w:hAnsi="Garamond" w:cs="Arial"/>
        <w:spacing w:val="12"/>
        <w:sz w:val="26"/>
        <w:szCs w:val="26"/>
      </w:rPr>
      <w:t>ΠΡΟ</w:t>
    </w:r>
    <w:r>
      <w:rPr>
        <w:rFonts w:ascii="Garamond" w:hAnsi="Garamond" w:cs="Arial"/>
        <w:spacing w:val="12"/>
        <w:sz w:val="26"/>
        <w:szCs w:val="26"/>
        <w:lang w:val="en-GB"/>
      </w:rPr>
      <w:t>Y</w:t>
    </w:r>
  </w:p>
  <w:p w:rsidR="003317D1" w:rsidRPr="00891100" w:rsidRDefault="003317D1" w:rsidP="003E2116">
    <w:pPr>
      <w:pStyle w:val="CBCHeading"/>
      <w:widowControl w:val="0"/>
      <w:spacing w:before="60"/>
      <w:ind w:right="119"/>
      <w:rPr>
        <w:rFonts w:ascii="Garamond" w:hAnsi="Garamond" w:cs="Arial"/>
        <w:b w:val="0"/>
        <w:spacing w:val="12"/>
        <w:sz w:val="18"/>
        <w:szCs w:val="18"/>
        <w:lang w:val="en-GB"/>
      </w:rPr>
    </w:pPr>
    <w:r w:rsidRPr="00891100">
      <w:rPr>
        <w:rFonts w:ascii="Garamond" w:hAnsi="Garamond"/>
        <w:b w:val="0"/>
        <w:sz w:val="18"/>
        <w:szCs w:val="18"/>
      </w:rPr>
      <w:t>Ε</w:t>
    </w:r>
    <w:r w:rsidRPr="00891100">
      <w:rPr>
        <w:rFonts w:ascii="Garamond" w:hAnsi="Garamond"/>
        <w:b w:val="0"/>
        <w:sz w:val="18"/>
        <w:szCs w:val="18"/>
        <w:lang w:val="en-GB"/>
      </w:rPr>
      <w:t>Y</w:t>
    </w:r>
    <w:r w:rsidRPr="00891100">
      <w:rPr>
        <w:rFonts w:ascii="Garamond" w:hAnsi="Garamond"/>
        <w:b w:val="0"/>
        <w:sz w:val="18"/>
        <w:szCs w:val="18"/>
      </w:rPr>
      <w:t>ΡΩΣ</w:t>
    </w:r>
    <w:r w:rsidRPr="00891100">
      <w:rPr>
        <w:rFonts w:ascii="Garamond" w:hAnsi="Garamond"/>
        <w:b w:val="0"/>
        <w:sz w:val="18"/>
        <w:szCs w:val="18"/>
        <w:lang w:val="en-GB"/>
      </w:rPr>
      <w:t>Y</w:t>
    </w:r>
    <w:r w:rsidRPr="00891100">
      <w:rPr>
        <w:rFonts w:ascii="Garamond" w:hAnsi="Garamond"/>
        <w:b w:val="0"/>
        <w:sz w:val="18"/>
        <w:szCs w:val="18"/>
      </w:rPr>
      <w:t>ΣΤΗΜΑ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9B"/>
    <w:rsid w:val="00173028"/>
    <w:rsid w:val="00194D3D"/>
    <w:rsid w:val="002759D7"/>
    <w:rsid w:val="002D13E6"/>
    <w:rsid w:val="003317D1"/>
    <w:rsid w:val="00345F36"/>
    <w:rsid w:val="00350FB8"/>
    <w:rsid w:val="00397BFA"/>
    <w:rsid w:val="003E2116"/>
    <w:rsid w:val="004034FF"/>
    <w:rsid w:val="00417DFA"/>
    <w:rsid w:val="0043672E"/>
    <w:rsid w:val="00472B4A"/>
    <w:rsid w:val="00496EC0"/>
    <w:rsid w:val="00507B11"/>
    <w:rsid w:val="00544ED3"/>
    <w:rsid w:val="00551A42"/>
    <w:rsid w:val="00597C50"/>
    <w:rsid w:val="006938E3"/>
    <w:rsid w:val="006C3244"/>
    <w:rsid w:val="0071329B"/>
    <w:rsid w:val="007400FE"/>
    <w:rsid w:val="0076497E"/>
    <w:rsid w:val="00765789"/>
    <w:rsid w:val="00875028"/>
    <w:rsid w:val="009A1EDC"/>
    <w:rsid w:val="00AD08CD"/>
    <w:rsid w:val="00B2112F"/>
    <w:rsid w:val="00C943CF"/>
    <w:rsid w:val="00C951B7"/>
    <w:rsid w:val="00DF5B28"/>
    <w:rsid w:val="00E26C3C"/>
    <w:rsid w:val="00E665D2"/>
    <w:rsid w:val="00F179F6"/>
    <w:rsid w:val="00F73898"/>
    <w:rsid w:val="00F7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099AF"/>
  <w15:chartTrackingRefBased/>
  <w15:docId w15:val="{FF477D2A-7F1F-4DE1-B625-EC0D927F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">
    <w:name w:val="cc"/>
    <w:basedOn w:val="Normal"/>
    <w:pPr>
      <w:tabs>
        <w:tab w:val="left" w:pos="1152"/>
      </w:tabs>
    </w:pPr>
  </w:style>
  <w:style w:type="paragraph" w:customStyle="1" w:styleId="Subject">
    <w:name w:val="Subject"/>
    <w:basedOn w:val="Normal"/>
    <w:pPr>
      <w:keepNext/>
      <w:spacing w:before="360" w:after="360"/>
      <w:jc w:val="center"/>
    </w:pPr>
    <w:rPr>
      <w:b/>
      <w:u w:val="single"/>
    </w:rPr>
  </w:style>
  <w:style w:type="paragraph" w:customStyle="1" w:styleId="MainBody">
    <w:name w:val="Main Body"/>
    <w:basedOn w:val="Normal"/>
    <w:pPr>
      <w:ind w:firstLine="720"/>
      <w:jc w:val="both"/>
    </w:pPr>
  </w:style>
  <w:style w:type="paragraph" w:customStyle="1" w:styleId="Enclosure">
    <w:name w:val="Enclosure"/>
    <w:basedOn w:val="Normal"/>
    <w:pPr>
      <w:tabs>
        <w:tab w:val="left" w:pos="1440"/>
      </w:tabs>
    </w:pPr>
  </w:style>
  <w:style w:type="paragraph" w:styleId="Date">
    <w:name w:val="Date"/>
    <w:basedOn w:val="BodyText"/>
    <w:next w:val="Receiver-Sender"/>
    <w:pPr>
      <w:spacing w:after="360"/>
      <w:ind w:left="5761"/>
    </w:pPr>
    <w:rPr>
      <w:b/>
    </w:rPr>
  </w:style>
  <w:style w:type="paragraph" w:customStyle="1" w:styleId="Name">
    <w:name w:val="Name"/>
    <w:basedOn w:val="Closing"/>
    <w:next w:val="Normal"/>
    <w:pPr>
      <w:spacing w:before="1200"/>
      <w:ind w:left="5228"/>
      <w:jc w:val="center"/>
    </w:pPr>
  </w:style>
  <w:style w:type="paragraph" w:customStyle="1" w:styleId="Receiver-Sender">
    <w:name w:val="Receiver - Sender"/>
    <w:basedOn w:val="BodyText"/>
    <w:pPr>
      <w:tabs>
        <w:tab w:val="left" w:pos="851"/>
        <w:tab w:val="left" w:pos="5760"/>
        <w:tab w:val="left" w:pos="6521"/>
      </w:tabs>
      <w:spacing w:after="0"/>
    </w:pPr>
    <w:rPr>
      <w:b/>
    </w:rPr>
  </w:style>
  <w:style w:type="paragraph" w:customStyle="1" w:styleId="Reference">
    <w:name w:val="Reference"/>
    <w:basedOn w:val="Normal"/>
    <w:next w:val="Date"/>
    <w:pPr>
      <w:tabs>
        <w:tab w:val="left" w:pos="1080"/>
      </w:tabs>
      <w:spacing w:after="240"/>
    </w:pPr>
  </w:style>
  <w:style w:type="paragraph" w:styleId="Header">
    <w:name w:val="header"/>
    <w:basedOn w:val="Normal"/>
    <w:pPr>
      <w:spacing w:after="840"/>
    </w:pPr>
    <w:rPr>
      <w:b/>
      <w:caps/>
      <w:sz w:val="28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  <w:pPr>
      <w:ind w:left="4320"/>
    </w:pPr>
  </w:style>
  <w:style w:type="paragraph" w:customStyle="1" w:styleId="CBCHeading">
    <w:name w:val="CBC Heading"/>
    <w:basedOn w:val="Normal"/>
    <w:rsid w:val="00496EC0"/>
    <w:pPr>
      <w:spacing w:after="360"/>
      <w:jc w:val="center"/>
    </w:pPr>
    <w:rPr>
      <w:b/>
      <w:sz w:val="28"/>
    </w:rPr>
  </w:style>
  <w:style w:type="paragraph" w:customStyle="1" w:styleId="StyleReferenceBold">
    <w:name w:val="Style Reference + Bold"/>
    <w:basedOn w:val="Reference"/>
    <w:autoRedefine/>
    <w:rsid w:val="00496EC0"/>
    <w:pPr>
      <w:spacing w:before="240"/>
    </w:pPr>
    <w:rPr>
      <w:b/>
      <w:bCs/>
    </w:rPr>
  </w:style>
  <w:style w:type="character" w:styleId="Hyperlink">
    <w:name w:val="Hyperlink"/>
    <w:basedOn w:val="DefaultParagraphFont"/>
    <w:rsid w:val="007400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7400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ralbank.cy/el/licensing-supervision/banks/aggregate-cyprus-banking-sector-dat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Greek%20Memo-CBC%20TEMPLAT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platon\SH_bsr\SUPD_Supervisory_Statistics_and_Data_Analysis\KPIs%20(DRRA,LNMATR,LATS,MRTG)\Public%20moratorium\PMRTM-19_06_2020\CIs-CACs-19_06_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platon\SH_bsr\SUPD_Supervisory_Statistics_and_Data_Analysis\KPIs%20(DRRA,LNMATR,LATS,MRTG)\Public%20moratorium\PMRTM-19_06_2020\CIs-CACs-19_06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 b="1"/>
              <a:t>Suspended credit facilities </a:t>
            </a:r>
          </a:p>
          <a:p>
            <a:pPr>
              <a:defRPr/>
            </a:pPr>
            <a:r>
              <a:rPr lang="en-GB" sz="1000" b="1"/>
              <a:t>as at 19/06/2020</a:t>
            </a:r>
          </a:p>
        </c:rich>
      </c:tx>
      <c:layout>
        <c:manualLayout>
          <c:xMode val="edge"/>
          <c:yMode val="edge"/>
          <c:x val="0.33304328484363183"/>
          <c:y val="3.15315315315315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>
        <c:manualLayout>
          <c:layoutTarget val="inner"/>
          <c:xMode val="edge"/>
          <c:yMode val="edge"/>
          <c:x val="9.8242997343114744E-2"/>
          <c:y val="0.20004504504504506"/>
          <c:w val="0.87843957146667473"/>
          <c:h val="0.52063488685535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Total!$B$28</c:f>
              <c:strCache>
                <c:ptCount val="1"/>
                <c:pt idx="0">
                  <c:v>Amount suspended €'000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Total!$D$25:$E$25</c:f>
              <c:strCache>
                <c:ptCount val="2"/>
                <c:pt idx="0">
                  <c:v>Households</c:v>
                </c:pt>
                <c:pt idx="1">
                  <c:v> Non-financial corporations</c:v>
                </c:pt>
              </c:strCache>
            </c:strRef>
          </c:cat>
          <c:val>
            <c:numRef>
              <c:f>Total!$D$28:$E$28</c:f>
              <c:numCache>
                <c:formatCode>#,##0</c:formatCode>
                <c:ptCount val="2"/>
                <c:pt idx="0">
                  <c:v>408206</c:v>
                </c:pt>
                <c:pt idx="1">
                  <c:v>929468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1C-40A1-B9EA-E8103EE47B21}"/>
            </c:ext>
          </c:extLst>
        </c:ser>
        <c:ser>
          <c:idx val="1"/>
          <c:order val="1"/>
          <c:tx>
            <c:strRef>
              <c:f>Total!$B$29</c:f>
              <c:strCache>
                <c:ptCount val="1"/>
                <c:pt idx="0">
                  <c:v>Gross carrying amount of instruments €'000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Total!$D$25:$E$25</c:f>
              <c:strCache>
                <c:ptCount val="2"/>
                <c:pt idx="0">
                  <c:v>Households</c:v>
                </c:pt>
                <c:pt idx="1">
                  <c:v> Non-financial corporations</c:v>
                </c:pt>
              </c:strCache>
            </c:strRef>
          </c:cat>
          <c:val>
            <c:numRef>
              <c:f>Total!$D$29:$E$29</c:f>
              <c:numCache>
                <c:formatCode>#,##0</c:formatCode>
                <c:ptCount val="2"/>
                <c:pt idx="0">
                  <c:v>4672277</c:v>
                </c:pt>
                <c:pt idx="1">
                  <c:v>7073415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1C-40A1-B9EA-E8103EE47B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6"/>
        <c:axId val="601769784"/>
        <c:axId val="601770768"/>
      </c:barChart>
      <c:scatterChart>
        <c:scatterStyle val="lineMarker"/>
        <c:varyColors val="0"/>
        <c:ser>
          <c:idx val="2"/>
          <c:order val="2"/>
          <c:tx>
            <c:strRef>
              <c:f>Total!$B$27</c:f>
              <c:strCache>
                <c:ptCount val="1"/>
                <c:pt idx="0">
                  <c:v>Number of borrowers (right axis)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rgbClr val="C00000"/>
              </a:solidFill>
              <a:ln w="9525">
                <a:noFill/>
              </a:ln>
              <a:effectLst/>
            </c:spPr>
          </c:marker>
          <c:yVal>
            <c:numRef>
              <c:f>Total!$D$27:$E$27</c:f>
              <c:numCache>
                <c:formatCode>#,##0</c:formatCode>
                <c:ptCount val="2"/>
                <c:pt idx="0">
                  <c:v>44428</c:v>
                </c:pt>
                <c:pt idx="1">
                  <c:v>6157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61C-40A1-B9EA-E8103EE47B21}"/>
            </c:ext>
          </c:extLst>
        </c:ser>
        <c:ser>
          <c:idx val="3"/>
          <c:order val="3"/>
          <c:tx>
            <c:strRef>
              <c:f>Total!$B$26</c:f>
              <c:strCache>
                <c:ptCount val="1"/>
                <c:pt idx="0">
                  <c:v>Number of instruments (right axis)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yVal>
            <c:numRef>
              <c:f>Total!$D$26:$E$26</c:f>
              <c:numCache>
                <c:formatCode>#,##0</c:formatCode>
                <c:ptCount val="2"/>
                <c:pt idx="0">
                  <c:v>76081</c:v>
                </c:pt>
                <c:pt idx="1">
                  <c:v>16092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61C-40A1-B9EA-E8103EE47B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83637664"/>
        <c:axId val="783633728"/>
      </c:scatterChart>
      <c:catAx>
        <c:axId val="601769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01770768"/>
        <c:crosses val="autoZero"/>
        <c:auto val="1"/>
        <c:lblAlgn val="ctr"/>
        <c:lblOffset val="100"/>
        <c:noMultiLvlLbl val="0"/>
      </c:catAx>
      <c:valAx>
        <c:axId val="60177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01769784"/>
        <c:crosses val="autoZero"/>
        <c:crossBetween val="between"/>
        <c:majorUnit val="1000000"/>
      </c:valAx>
      <c:valAx>
        <c:axId val="783633728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accent1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83637664"/>
        <c:crosses val="max"/>
        <c:crossBetween val="midCat"/>
      </c:valAx>
      <c:valAx>
        <c:axId val="783637664"/>
        <c:scaling>
          <c:orientation val="minMax"/>
        </c:scaling>
        <c:delete val="1"/>
        <c:axPos val="b"/>
        <c:majorTickMark val="out"/>
        <c:minorTickMark val="none"/>
        <c:tickLblPos val="nextTo"/>
        <c:crossAx val="7836337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421029568918878"/>
          <c:y val="0.81681386110519971"/>
          <c:w val="0.71521209763600679"/>
          <c:h val="0.16066361637227777"/>
        </c:manualLayout>
      </c:layout>
      <c:overlay val="0"/>
      <c:spPr>
        <a:noFill/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800"/>
      </a:pPr>
      <a:endParaRPr lang="el-G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 b="1"/>
              <a:t>Suspended</a:t>
            </a:r>
            <a:r>
              <a:rPr lang="en-GB" sz="1000" b="1" baseline="0"/>
              <a:t> credit facilities by economic activity</a:t>
            </a:r>
          </a:p>
          <a:p>
            <a:pPr>
              <a:defRPr sz="1000" b="1"/>
            </a:pPr>
            <a:r>
              <a:rPr lang="en-GB" sz="1000" b="1" baseline="0"/>
              <a:t>as at 19/06/2020</a:t>
            </a:r>
            <a:endParaRPr lang="en-GB" sz="1000" b="1"/>
          </a:p>
        </c:rich>
      </c:tx>
      <c:layout>
        <c:manualLayout>
          <c:xMode val="edge"/>
          <c:yMode val="edge"/>
          <c:x val="0.31166087335604359"/>
          <c:y val="1.12023898431665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>
        <c:manualLayout>
          <c:layoutTarget val="inner"/>
          <c:xMode val="edge"/>
          <c:yMode val="edge"/>
          <c:x val="0.10262239577776355"/>
          <c:y val="0.15083337457167939"/>
          <c:w val="0.84830619749767056"/>
          <c:h val="0.32130227880393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NFCs!$J$2</c:f>
              <c:strCache>
                <c:ptCount val="1"/>
                <c:pt idx="0">
                  <c:v>Gross carrying amount of instruments €'000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NFCs!$A$4:$A$22</c:f>
              <c:strCache>
                <c:ptCount val="19"/>
                <c:pt idx="0">
                  <c:v>Agriculture, forestry and fishing</c:v>
                </c:pt>
                <c:pt idx="1">
                  <c:v>Mining and quarrying</c:v>
                </c:pt>
                <c:pt idx="2">
                  <c:v>Manufacturing</c:v>
                </c:pt>
                <c:pt idx="3">
                  <c:v>Electricity, gas, steam and air conditioning supply</c:v>
                </c:pt>
                <c:pt idx="4">
                  <c:v>Water supply</c:v>
                </c:pt>
                <c:pt idx="5">
                  <c:v>Construction</c:v>
                </c:pt>
                <c:pt idx="6">
                  <c:v>Wholesale and retail trade</c:v>
                </c:pt>
                <c:pt idx="7">
                  <c:v>Transport and storage</c:v>
                </c:pt>
                <c:pt idx="8">
                  <c:v>Accommodation and food service activities</c:v>
                </c:pt>
                <c:pt idx="9">
                  <c:v>Information and communication</c:v>
                </c:pt>
                <c:pt idx="10">
                  <c:v>Financial and insurance activities</c:v>
                </c:pt>
                <c:pt idx="11">
                  <c:v>Real estate activities</c:v>
                </c:pt>
                <c:pt idx="12">
                  <c:v>Professional, scientific and technical activities</c:v>
                </c:pt>
                <c:pt idx="13">
                  <c:v>Administrative and support service activities</c:v>
                </c:pt>
                <c:pt idx="14">
                  <c:v>Education</c:v>
                </c:pt>
                <c:pt idx="15">
                  <c:v>Public administration and defence, compulsory social security</c:v>
                </c:pt>
                <c:pt idx="16">
                  <c:v>Human health services and social work activities</c:v>
                </c:pt>
                <c:pt idx="17">
                  <c:v>Arts, entertainment and recreation</c:v>
                </c:pt>
                <c:pt idx="18">
                  <c:v>Other services</c:v>
                </c:pt>
              </c:strCache>
            </c:strRef>
          </c:cat>
          <c:val>
            <c:numRef>
              <c:f>NFCs!$J$4:$J$22</c:f>
              <c:numCache>
                <c:formatCode>#,##0</c:formatCode>
                <c:ptCount val="19"/>
                <c:pt idx="0">
                  <c:v>51642</c:v>
                </c:pt>
                <c:pt idx="1">
                  <c:v>18865</c:v>
                </c:pt>
                <c:pt idx="2">
                  <c:v>440134</c:v>
                </c:pt>
                <c:pt idx="3">
                  <c:v>25446</c:v>
                </c:pt>
                <c:pt idx="4">
                  <c:v>31572</c:v>
                </c:pt>
                <c:pt idx="5">
                  <c:v>1187841</c:v>
                </c:pt>
                <c:pt idx="6">
                  <c:v>1150413</c:v>
                </c:pt>
                <c:pt idx="7">
                  <c:v>255082</c:v>
                </c:pt>
                <c:pt idx="8">
                  <c:v>1750817</c:v>
                </c:pt>
                <c:pt idx="9">
                  <c:v>59976</c:v>
                </c:pt>
                <c:pt idx="10">
                  <c:v>0</c:v>
                </c:pt>
                <c:pt idx="11">
                  <c:v>1309103</c:v>
                </c:pt>
                <c:pt idx="12">
                  <c:v>323256</c:v>
                </c:pt>
                <c:pt idx="13">
                  <c:v>105567</c:v>
                </c:pt>
                <c:pt idx="14">
                  <c:v>100911</c:v>
                </c:pt>
                <c:pt idx="15">
                  <c:v>0</c:v>
                </c:pt>
                <c:pt idx="16">
                  <c:v>116046</c:v>
                </c:pt>
                <c:pt idx="17">
                  <c:v>84062</c:v>
                </c:pt>
                <c:pt idx="18">
                  <c:v>62727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EB-440D-9011-1153A0A938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-15"/>
        <c:axId val="608087872"/>
        <c:axId val="608083280"/>
      </c:barChart>
      <c:scatterChart>
        <c:scatterStyle val="lineMarker"/>
        <c:varyColors val="0"/>
        <c:ser>
          <c:idx val="1"/>
          <c:order val="1"/>
          <c:tx>
            <c:strRef>
              <c:f>NFCs!$K$2</c:f>
              <c:strCache>
                <c:ptCount val="1"/>
                <c:pt idx="0">
                  <c:v>Number of borrowers (right axis)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rgbClr val="C00000"/>
              </a:solidFill>
              <a:ln w="9525">
                <a:noFill/>
              </a:ln>
              <a:effectLst/>
            </c:spPr>
          </c:marker>
          <c:xVal>
            <c:strRef>
              <c:f>NFCs!$A$4:$A$22</c:f>
              <c:strCache>
                <c:ptCount val="19"/>
                <c:pt idx="0">
                  <c:v>Agriculture, forestry and fishing</c:v>
                </c:pt>
                <c:pt idx="1">
                  <c:v>Mining and quarrying</c:v>
                </c:pt>
                <c:pt idx="2">
                  <c:v>Manufacturing</c:v>
                </c:pt>
                <c:pt idx="3">
                  <c:v>Electricity, gas, steam and air conditioning supply</c:v>
                </c:pt>
                <c:pt idx="4">
                  <c:v>Water supply</c:v>
                </c:pt>
                <c:pt idx="5">
                  <c:v>Construction</c:v>
                </c:pt>
                <c:pt idx="6">
                  <c:v>Wholesale and retail trade</c:v>
                </c:pt>
                <c:pt idx="7">
                  <c:v>Transport and storage</c:v>
                </c:pt>
                <c:pt idx="8">
                  <c:v>Accommodation and food service activities</c:v>
                </c:pt>
                <c:pt idx="9">
                  <c:v>Information and communication</c:v>
                </c:pt>
                <c:pt idx="10">
                  <c:v>Financial and insurance activities</c:v>
                </c:pt>
                <c:pt idx="11">
                  <c:v>Real estate activities</c:v>
                </c:pt>
                <c:pt idx="12">
                  <c:v>Professional, scientific and technical activities</c:v>
                </c:pt>
                <c:pt idx="13">
                  <c:v>Administrative and support service activities</c:v>
                </c:pt>
                <c:pt idx="14">
                  <c:v>Education</c:v>
                </c:pt>
                <c:pt idx="15">
                  <c:v>Public administration and defence, compulsory social security</c:v>
                </c:pt>
                <c:pt idx="16">
                  <c:v>Human health services and social work activities</c:v>
                </c:pt>
                <c:pt idx="17">
                  <c:v>Arts, entertainment and recreation</c:v>
                </c:pt>
                <c:pt idx="18">
                  <c:v>Other services</c:v>
                </c:pt>
              </c:strCache>
            </c:strRef>
          </c:xVal>
          <c:yVal>
            <c:numRef>
              <c:f>NFCs!$K$4:$K$22</c:f>
              <c:numCache>
                <c:formatCode>#,##0</c:formatCode>
                <c:ptCount val="19"/>
                <c:pt idx="0">
                  <c:v>115</c:v>
                </c:pt>
                <c:pt idx="1">
                  <c:v>18</c:v>
                </c:pt>
                <c:pt idx="2">
                  <c:v>569</c:v>
                </c:pt>
                <c:pt idx="3">
                  <c:v>42</c:v>
                </c:pt>
                <c:pt idx="4">
                  <c:v>23</c:v>
                </c:pt>
                <c:pt idx="5">
                  <c:v>628</c:v>
                </c:pt>
                <c:pt idx="6">
                  <c:v>1770</c:v>
                </c:pt>
                <c:pt idx="7">
                  <c:v>172</c:v>
                </c:pt>
                <c:pt idx="8">
                  <c:v>728</c:v>
                </c:pt>
                <c:pt idx="9">
                  <c:v>128</c:v>
                </c:pt>
                <c:pt idx="10">
                  <c:v>0</c:v>
                </c:pt>
                <c:pt idx="11">
                  <c:v>691</c:v>
                </c:pt>
                <c:pt idx="12">
                  <c:v>416</c:v>
                </c:pt>
                <c:pt idx="13">
                  <c:v>237</c:v>
                </c:pt>
                <c:pt idx="14">
                  <c:v>105</c:v>
                </c:pt>
                <c:pt idx="15">
                  <c:v>0</c:v>
                </c:pt>
                <c:pt idx="16">
                  <c:v>132</c:v>
                </c:pt>
                <c:pt idx="17">
                  <c:v>126</c:v>
                </c:pt>
                <c:pt idx="18">
                  <c:v>258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9EB-440D-9011-1153A0A938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3359200"/>
        <c:axId val="703366416"/>
      </c:scatterChart>
      <c:catAx>
        <c:axId val="60808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08083280"/>
        <c:crosses val="autoZero"/>
        <c:auto val="1"/>
        <c:lblAlgn val="ctr"/>
        <c:lblOffset val="100"/>
        <c:noMultiLvlLbl val="0"/>
      </c:catAx>
      <c:valAx>
        <c:axId val="608083280"/>
        <c:scaling>
          <c:orientation val="minMax"/>
          <c:max val="18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08087872"/>
        <c:crosses val="autoZero"/>
        <c:crossBetween val="between"/>
        <c:majorUnit val="200000"/>
      </c:valAx>
      <c:valAx>
        <c:axId val="703366416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03359200"/>
        <c:crosses val="max"/>
        <c:crossBetween val="midCat"/>
      </c:valAx>
      <c:valAx>
        <c:axId val="703359200"/>
        <c:scaling>
          <c:orientation val="minMax"/>
        </c:scaling>
        <c:delete val="1"/>
        <c:axPos val="b"/>
        <c:majorTickMark val="out"/>
        <c:minorTickMark val="none"/>
        <c:tickLblPos val="nextTo"/>
        <c:crossAx val="70336641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813836046094433"/>
          <c:y val="0.92028632249945619"/>
          <c:w val="0.57979927305834733"/>
          <c:h val="4.8355934674832311E-2"/>
        </c:manualLayout>
      </c:layout>
      <c:overlay val="0"/>
      <c:spPr>
        <a:noFill/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800"/>
      </a:pPr>
      <a:endParaRPr lang="el-G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Greek Memo-CBC TEMPLATE.dot</Template>
  <TotalTime>41</TotalTime>
  <Pages>1</Pages>
  <Words>134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Central Bank of Cyprus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>Σημείωμα - Ελληνικά</dc:subject>
  <dc:creator>Marianna M Christoforou</dc:creator>
  <cp:keywords/>
  <dc:description/>
  <cp:lastModifiedBy>Marianna M Christoforou</cp:lastModifiedBy>
  <cp:revision>24</cp:revision>
  <cp:lastPrinted>2008-02-14T12:07:00Z</cp:lastPrinted>
  <dcterms:created xsi:type="dcterms:W3CDTF">2020-05-12T12:08:00Z</dcterms:created>
  <dcterms:modified xsi:type="dcterms:W3CDTF">2020-07-15T05:59:00Z</dcterms:modified>
</cp:coreProperties>
</file>