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0D3F" w14:textId="77777777" w:rsidR="00F351FE" w:rsidRPr="00B609BF" w:rsidRDefault="004C74F7" w:rsidP="00F351FE">
      <w:pPr>
        <w:tabs>
          <w:tab w:val="left" w:pos="1276"/>
        </w:tabs>
        <w:spacing w:before="120" w:after="120"/>
        <w:ind w:left="1276" w:hanging="1276"/>
        <w:jc w:val="center"/>
        <w:rPr>
          <w:b/>
          <w:sz w:val="28"/>
          <w:szCs w:val="28"/>
        </w:rPr>
      </w:pPr>
      <w:bookmarkStart w:id="0" w:name="_GoBack"/>
      <w:bookmarkEnd w:id="0"/>
      <w:r>
        <w:rPr>
          <w:b/>
          <w:sz w:val="28"/>
          <w:szCs w:val="28"/>
        </w:rPr>
        <w:t>Annex</w:t>
      </w:r>
      <w:r w:rsidR="00F351FE" w:rsidRPr="00B609BF">
        <w:rPr>
          <w:b/>
          <w:sz w:val="28"/>
          <w:szCs w:val="28"/>
        </w:rPr>
        <w:t xml:space="preserve"> I</w:t>
      </w:r>
    </w:p>
    <w:p w14:paraId="178DEB01" w14:textId="77777777" w:rsidR="00F351FE" w:rsidRPr="00B609BF" w:rsidRDefault="00F351FE" w:rsidP="00B609BF">
      <w:pPr>
        <w:tabs>
          <w:tab w:val="left" w:pos="1276"/>
        </w:tabs>
        <w:spacing w:before="120" w:after="120"/>
        <w:jc w:val="center"/>
        <w:rPr>
          <w:b/>
          <w:sz w:val="28"/>
          <w:szCs w:val="28"/>
        </w:rPr>
      </w:pPr>
      <w:r w:rsidRPr="00B609BF">
        <w:rPr>
          <w:b/>
          <w:sz w:val="28"/>
          <w:szCs w:val="28"/>
        </w:rPr>
        <w:t>Specifications for the design competition for a 2-euro common c</w:t>
      </w:r>
      <w:r w:rsidR="0034559F">
        <w:rPr>
          <w:b/>
          <w:sz w:val="28"/>
          <w:szCs w:val="28"/>
        </w:rPr>
        <w:t>ommemorative coin celebrating 35</w:t>
      </w:r>
      <w:r w:rsidRPr="00B609BF">
        <w:rPr>
          <w:b/>
          <w:sz w:val="28"/>
          <w:szCs w:val="28"/>
        </w:rPr>
        <w:t xml:space="preserve"> years of the </w:t>
      </w:r>
      <w:r w:rsidR="0034559F">
        <w:rPr>
          <w:b/>
          <w:sz w:val="28"/>
          <w:szCs w:val="28"/>
        </w:rPr>
        <w:t>Erasmus programme</w:t>
      </w:r>
    </w:p>
    <w:p w14:paraId="3A7D32EC" w14:textId="77777777" w:rsidR="00B609BF" w:rsidRDefault="00B609BF" w:rsidP="00F351FE">
      <w:pPr>
        <w:keepNext/>
        <w:tabs>
          <w:tab w:val="left" w:pos="1276"/>
        </w:tabs>
        <w:spacing w:before="120" w:after="120"/>
        <w:ind w:left="1276" w:hanging="1276"/>
        <w:rPr>
          <w:i/>
          <w:szCs w:val="24"/>
        </w:rPr>
      </w:pPr>
    </w:p>
    <w:p w14:paraId="70174BFE" w14:textId="77777777" w:rsidR="00B609BF" w:rsidRDefault="00B609BF" w:rsidP="00F351FE">
      <w:pPr>
        <w:keepNext/>
        <w:tabs>
          <w:tab w:val="left" w:pos="1276"/>
        </w:tabs>
        <w:spacing w:before="120" w:after="120"/>
        <w:ind w:left="1276" w:hanging="1276"/>
        <w:rPr>
          <w:i/>
          <w:szCs w:val="24"/>
        </w:rPr>
      </w:pPr>
    </w:p>
    <w:p w14:paraId="48CB3B52" w14:textId="77777777" w:rsidR="00F351FE" w:rsidRDefault="00F351FE" w:rsidP="00F351FE">
      <w:pPr>
        <w:keepNext/>
        <w:tabs>
          <w:tab w:val="left" w:pos="1276"/>
        </w:tabs>
        <w:spacing w:before="120" w:after="120"/>
        <w:ind w:left="1276" w:hanging="1276"/>
        <w:rPr>
          <w:b/>
          <w:szCs w:val="24"/>
        </w:rPr>
      </w:pPr>
      <w:r w:rsidRPr="00B609BF">
        <w:rPr>
          <w:b/>
          <w:i/>
          <w:szCs w:val="24"/>
        </w:rPr>
        <w:t>Design requirements</w:t>
      </w:r>
      <w:r w:rsidRPr="00B609BF">
        <w:rPr>
          <w:b/>
          <w:szCs w:val="24"/>
        </w:rPr>
        <w:t>:</w:t>
      </w:r>
    </w:p>
    <w:p w14:paraId="37AF8FEE" w14:textId="77777777" w:rsidR="00B609BF" w:rsidRPr="00B609BF" w:rsidRDefault="00B609BF" w:rsidP="00F351FE">
      <w:pPr>
        <w:keepNext/>
        <w:tabs>
          <w:tab w:val="left" w:pos="1276"/>
        </w:tabs>
        <w:spacing w:before="120" w:after="120"/>
        <w:ind w:left="1276" w:hanging="1276"/>
        <w:rPr>
          <w:b/>
          <w:szCs w:val="24"/>
        </w:rPr>
      </w:pPr>
    </w:p>
    <w:p w14:paraId="67E6E8B3" w14:textId="77777777" w:rsidR="00070B30" w:rsidRDefault="0034559F" w:rsidP="000A3489">
      <w:pPr>
        <w:spacing w:before="120" w:after="120"/>
        <w:rPr>
          <w:szCs w:val="24"/>
        </w:rPr>
      </w:pPr>
      <w:r w:rsidRPr="004D0F71">
        <w:rPr>
          <w:szCs w:val="24"/>
        </w:rPr>
        <w:t>The design should symbolise 35</w:t>
      </w:r>
      <w:r w:rsidR="00F351FE" w:rsidRPr="004D0F71">
        <w:rPr>
          <w:szCs w:val="24"/>
        </w:rPr>
        <w:t xml:space="preserve"> years of the </w:t>
      </w:r>
      <w:r w:rsidRPr="004D0F71">
        <w:rPr>
          <w:szCs w:val="24"/>
        </w:rPr>
        <w:t>Erasmus programme</w:t>
      </w:r>
      <w:r w:rsidR="00F351FE" w:rsidRPr="004D0F71">
        <w:rPr>
          <w:szCs w:val="24"/>
        </w:rPr>
        <w:t xml:space="preserve">. It </w:t>
      </w:r>
      <w:r w:rsidR="00F351FE" w:rsidRPr="00D931AA">
        <w:rPr>
          <w:szCs w:val="24"/>
        </w:rPr>
        <w:t xml:space="preserve">should reflect the </w:t>
      </w:r>
      <w:r w:rsidR="000A3489" w:rsidRPr="00D931AA">
        <w:rPr>
          <w:szCs w:val="24"/>
        </w:rPr>
        <w:t xml:space="preserve">idea that </w:t>
      </w:r>
      <w:r w:rsidR="004D0F71" w:rsidRPr="00D931AA">
        <w:rPr>
          <w:szCs w:val="24"/>
        </w:rPr>
        <w:t xml:space="preserve">the Erasmus programme </w:t>
      </w:r>
      <w:r w:rsidR="000A3489" w:rsidRPr="00D931AA">
        <w:rPr>
          <w:szCs w:val="24"/>
        </w:rPr>
        <w:t>support</w:t>
      </w:r>
      <w:r w:rsidR="004D0F71" w:rsidRPr="00D931AA">
        <w:rPr>
          <w:szCs w:val="24"/>
        </w:rPr>
        <w:t>s</w:t>
      </w:r>
      <w:r w:rsidR="000A3489" w:rsidRPr="00D931AA">
        <w:rPr>
          <w:szCs w:val="24"/>
        </w:rPr>
        <w:t xml:space="preserve"> education, training, youth and sport in Europe</w:t>
      </w:r>
      <w:r w:rsidR="004D0F71" w:rsidRPr="00D931AA">
        <w:rPr>
          <w:szCs w:val="24"/>
        </w:rPr>
        <w:t xml:space="preserve"> and thus </w:t>
      </w:r>
      <w:hyperlink r:id="rId8" w:history="1">
        <w:r w:rsidR="004D0F71" w:rsidRPr="00D931AA">
          <w:rPr>
            <w:rStyle w:val="Hyperlink"/>
            <w:rFonts w:cs="Arial"/>
            <w:color w:val="auto"/>
            <w:szCs w:val="24"/>
            <w:u w:val="none"/>
          </w:rPr>
          <w:t>encourage</w:t>
        </w:r>
        <w:r w:rsidR="00070B30">
          <w:rPr>
            <w:rStyle w:val="Hyperlink"/>
            <w:rFonts w:cs="Arial"/>
            <w:color w:val="auto"/>
            <w:szCs w:val="24"/>
            <w:u w:val="none"/>
          </w:rPr>
          <w:t>s young people to take part in E</w:t>
        </w:r>
        <w:r w:rsidR="004D0F71" w:rsidRPr="00D931AA">
          <w:rPr>
            <w:rStyle w:val="Hyperlink"/>
            <w:rFonts w:cs="Arial"/>
            <w:color w:val="auto"/>
            <w:szCs w:val="24"/>
            <w:u w:val="none"/>
          </w:rPr>
          <w:t>uropean democracy</w:t>
        </w:r>
      </w:hyperlink>
      <w:r w:rsidR="004D0F71" w:rsidRPr="00D931AA">
        <w:rPr>
          <w:szCs w:val="24"/>
        </w:rPr>
        <w:t xml:space="preserve"> and contributes to </w:t>
      </w:r>
      <w:hyperlink r:id="rId9" w:tgtFrame="_blank" w:history="1">
        <w:r w:rsidR="004D0F71" w:rsidRPr="00D931AA">
          <w:rPr>
            <w:rStyle w:val="Hyperlink"/>
            <w:rFonts w:cs="Arial"/>
            <w:color w:val="auto"/>
            <w:szCs w:val="24"/>
            <w:u w:val="none"/>
          </w:rPr>
          <w:t>promoting cooperation and mobility within</w:t>
        </w:r>
      </w:hyperlink>
      <w:r w:rsidR="004D0F71" w:rsidRPr="00D931AA">
        <w:rPr>
          <w:szCs w:val="24"/>
        </w:rPr>
        <w:t xml:space="preserve"> the EU.</w:t>
      </w:r>
      <w:r w:rsidR="00070B30">
        <w:rPr>
          <w:szCs w:val="24"/>
        </w:rPr>
        <w:t xml:space="preserve"> More information on the Erasmus programme (now called Erasmus+) can be found at:</w:t>
      </w:r>
    </w:p>
    <w:p w14:paraId="653180D0" w14:textId="45339BA5" w:rsidR="00F351FE" w:rsidRDefault="00F74D51" w:rsidP="000A3489">
      <w:pPr>
        <w:spacing w:before="120" w:after="120"/>
        <w:rPr>
          <w:szCs w:val="24"/>
        </w:rPr>
      </w:pPr>
      <w:hyperlink r:id="rId10" w:history="1">
        <w:r w:rsidR="00070B30" w:rsidRPr="00B478EA">
          <w:rPr>
            <w:rStyle w:val="Hyperlink"/>
            <w:szCs w:val="24"/>
          </w:rPr>
          <w:t>https://ec.europa.eu/programmes/erasmus-plus/node_en</w:t>
        </w:r>
      </w:hyperlink>
    </w:p>
    <w:p w14:paraId="3727A639" w14:textId="2079FA1D" w:rsidR="00F351FE" w:rsidRPr="00B609BF" w:rsidRDefault="00F351FE" w:rsidP="00F351FE">
      <w:pPr>
        <w:spacing w:before="120" w:after="120"/>
        <w:rPr>
          <w:szCs w:val="24"/>
        </w:rPr>
      </w:pPr>
      <w:r w:rsidRPr="00B609BF">
        <w:rPr>
          <w:szCs w:val="24"/>
        </w:rPr>
        <w:t>In accordance with the rules on national sides the design cannot include the denomination, or any parts thereof, neither the name of the currency. This does not, however, exclude a symbol of the currency. The established rules for the design of national sides should obviously be respected. The compulsory elements of the coin are:</w:t>
      </w:r>
    </w:p>
    <w:p w14:paraId="07209973" w14:textId="77777777" w:rsidR="00F351FE" w:rsidRPr="00B609BF" w:rsidRDefault="00F351FE" w:rsidP="00F351FE">
      <w:pPr>
        <w:pStyle w:val="ListBullet"/>
        <w:numPr>
          <w:ilvl w:val="0"/>
          <w:numId w:val="2"/>
        </w:numPr>
        <w:spacing w:before="120" w:after="120"/>
        <w:ind w:left="284" w:hanging="284"/>
        <w:rPr>
          <w:szCs w:val="24"/>
        </w:rPr>
      </w:pPr>
      <w:r w:rsidRPr="00B609BF">
        <w:rPr>
          <w:szCs w:val="24"/>
          <w:u w:val="single"/>
        </w:rPr>
        <w:t>on the outer ring</w:t>
      </w:r>
      <w:r w:rsidRPr="00B609BF">
        <w:rPr>
          <w:szCs w:val="24"/>
        </w:rPr>
        <w:t>: the 12 stars of the European flag completely surrounding the design;</w:t>
      </w:r>
    </w:p>
    <w:p w14:paraId="08AB81DC" w14:textId="77777777" w:rsidR="00F351FE" w:rsidRPr="00B609BF" w:rsidRDefault="00F351FE" w:rsidP="00F351FE">
      <w:pPr>
        <w:pStyle w:val="ListBullet"/>
        <w:numPr>
          <w:ilvl w:val="0"/>
          <w:numId w:val="2"/>
        </w:numPr>
        <w:spacing w:before="120" w:after="120"/>
        <w:ind w:left="284" w:hanging="284"/>
        <w:rPr>
          <w:szCs w:val="24"/>
        </w:rPr>
      </w:pPr>
      <w:r w:rsidRPr="00B609BF">
        <w:rPr>
          <w:szCs w:val="24"/>
          <w:u w:val="single"/>
        </w:rPr>
        <w:t>in the inner circle</w:t>
      </w:r>
      <w:r w:rsidR="0034559F">
        <w:rPr>
          <w:szCs w:val="24"/>
        </w:rPr>
        <w:t>: the year 2022 (e.g. "2022" or "1987</w:t>
      </w:r>
      <w:r w:rsidRPr="00B609BF">
        <w:rPr>
          <w:szCs w:val="24"/>
        </w:rPr>
        <w:t>-20</w:t>
      </w:r>
      <w:r w:rsidR="0034559F">
        <w:rPr>
          <w:szCs w:val="24"/>
        </w:rPr>
        <w:t>22</w:t>
      </w:r>
      <w:r w:rsidRPr="00B609BF">
        <w:rPr>
          <w:szCs w:val="24"/>
        </w:rPr>
        <w:t xml:space="preserve">") and the text "ISSUING COUNTRY" (that will be replaced by the name of each country in its language(s) on the coin to be issued). </w:t>
      </w:r>
    </w:p>
    <w:p w14:paraId="36A1876D" w14:textId="67DF45D3" w:rsidR="00F351FE" w:rsidRPr="00B609BF" w:rsidRDefault="00F351FE" w:rsidP="00F351FE">
      <w:pPr>
        <w:spacing w:before="120" w:after="120"/>
        <w:rPr>
          <w:szCs w:val="24"/>
        </w:rPr>
      </w:pPr>
      <w:r w:rsidRPr="00B609BF">
        <w:rPr>
          <w:szCs w:val="24"/>
        </w:rPr>
        <w:t>The design should preferably not include any other text in order to avoid possible translation difficulties and to limit the difficulties for those countries having several national languages. However, if there is a text, it should be extremely short and in English. The design shall be drawn up in such a way that, where applicable a mint mark can be added in the inner circle of the coin</w:t>
      </w:r>
      <w:r w:rsidRPr="00BC5C0E">
        <w:rPr>
          <w:szCs w:val="24"/>
        </w:rPr>
        <w:t xml:space="preserve">. Furthermore, a design in the form of a map should preferably be avoided since it might be seen as repetitive to have a geographical representation on both sides of the coin. A short explanatory notice on the submitted design </w:t>
      </w:r>
      <w:r w:rsidR="00070B30">
        <w:rPr>
          <w:szCs w:val="24"/>
        </w:rPr>
        <w:t xml:space="preserve">is welcome and </w:t>
      </w:r>
      <w:r w:rsidRPr="00BC5C0E">
        <w:rPr>
          <w:szCs w:val="24"/>
        </w:rPr>
        <w:t xml:space="preserve">can </w:t>
      </w:r>
      <w:r w:rsidR="00070B30">
        <w:rPr>
          <w:szCs w:val="24"/>
        </w:rPr>
        <w:t>be added</w:t>
      </w:r>
      <w:r w:rsidRPr="00BC5C0E">
        <w:rPr>
          <w:szCs w:val="24"/>
        </w:rPr>
        <w:t xml:space="preserve"> </w:t>
      </w:r>
      <w:r w:rsidR="00070B30">
        <w:rPr>
          <w:szCs w:val="24"/>
        </w:rPr>
        <w:t xml:space="preserve">as a </w:t>
      </w:r>
      <w:r w:rsidRPr="00BC5C0E">
        <w:rPr>
          <w:szCs w:val="24"/>
        </w:rPr>
        <w:t>separate file or sheet</w:t>
      </w:r>
      <w:r w:rsidRPr="00B609BF">
        <w:rPr>
          <w:szCs w:val="24"/>
        </w:rPr>
        <w:t xml:space="preserve">. </w:t>
      </w:r>
    </w:p>
    <w:p w14:paraId="6DD52468" w14:textId="376C2F0E" w:rsidR="00F351FE" w:rsidRPr="00B609BF" w:rsidRDefault="0034559F" w:rsidP="00F351FE">
      <w:pPr>
        <w:spacing w:before="120" w:after="120"/>
        <w:rPr>
          <w:szCs w:val="24"/>
        </w:rPr>
      </w:pPr>
      <w:r>
        <w:rPr>
          <w:szCs w:val="24"/>
        </w:rPr>
        <w:t>Euro area Member States</w:t>
      </w:r>
      <w:r w:rsidR="00F351FE" w:rsidRPr="00B609BF">
        <w:rPr>
          <w:szCs w:val="24"/>
        </w:rPr>
        <w:t xml:space="preserve"> are allowed </w:t>
      </w:r>
      <w:r w:rsidR="00070B30">
        <w:rPr>
          <w:szCs w:val="24"/>
        </w:rPr>
        <w:t xml:space="preserve">and even invited </w:t>
      </w:r>
      <w:r w:rsidR="00F351FE" w:rsidRPr="00B609BF">
        <w:rPr>
          <w:szCs w:val="24"/>
        </w:rPr>
        <w:t xml:space="preserve">to submit more than one project. </w:t>
      </w:r>
    </w:p>
    <w:p w14:paraId="24E29262" w14:textId="16767478" w:rsidR="00F351FE" w:rsidRPr="00B609BF" w:rsidRDefault="00F351FE" w:rsidP="00F351FE">
      <w:pPr>
        <w:spacing w:before="120" w:after="120"/>
        <w:rPr>
          <w:szCs w:val="24"/>
        </w:rPr>
      </w:pPr>
      <w:r w:rsidRPr="00B609BF">
        <w:rPr>
          <w:szCs w:val="24"/>
        </w:rPr>
        <w:t xml:space="preserve">Projects </w:t>
      </w:r>
      <w:r w:rsidR="009B5C32">
        <w:rPr>
          <w:szCs w:val="24"/>
        </w:rPr>
        <w:t>should be sent</w:t>
      </w:r>
      <w:r w:rsidR="0064329A">
        <w:rPr>
          <w:szCs w:val="24"/>
        </w:rPr>
        <w:t xml:space="preserve"> electronically</w:t>
      </w:r>
      <w:r w:rsidR="00070B30">
        <w:rPr>
          <w:szCs w:val="24"/>
        </w:rPr>
        <w:t xml:space="preserve"> only</w:t>
      </w:r>
      <w:r w:rsidR="0064329A">
        <w:rPr>
          <w:szCs w:val="24"/>
        </w:rPr>
        <w:t xml:space="preserve">. </w:t>
      </w:r>
      <w:r w:rsidRPr="00B609BF">
        <w:rPr>
          <w:szCs w:val="24"/>
        </w:rPr>
        <w:t>The technical requirements of the electronic files are:</w:t>
      </w:r>
    </w:p>
    <w:p w14:paraId="231682F5" w14:textId="77777777" w:rsidR="00F351FE" w:rsidRPr="00B609BF" w:rsidRDefault="00F351FE" w:rsidP="00115C69">
      <w:pPr>
        <w:jc w:val="center"/>
        <w:rPr>
          <w:szCs w:val="24"/>
          <w:lang w:eastAsia="en-GB"/>
        </w:rPr>
      </w:pPr>
      <w:r w:rsidRPr="00B609BF">
        <w:rPr>
          <w:szCs w:val="24"/>
          <w:lang w:eastAsia="en-GB"/>
        </w:rPr>
        <w:t>JPEG- format, 72 DPI and 300 DPI</w:t>
      </w:r>
      <w:r w:rsidRPr="00B609BF">
        <w:rPr>
          <w:szCs w:val="24"/>
          <w:lang w:eastAsia="en-GB"/>
        </w:rPr>
        <w:br/>
        <w:t>10 cm diameter</w:t>
      </w:r>
      <w:r w:rsidRPr="00B609BF">
        <w:rPr>
          <w:szCs w:val="24"/>
          <w:lang w:eastAsia="en-GB"/>
        </w:rPr>
        <w:br/>
        <w:t>white background, no shadows</w:t>
      </w:r>
      <w:r w:rsidRPr="00B609BF">
        <w:rPr>
          <w:szCs w:val="24"/>
          <w:lang w:eastAsia="en-GB"/>
        </w:rPr>
        <w:br/>
      </w:r>
      <w:r w:rsidRPr="00B609BF">
        <w:rPr>
          <w:bCs/>
          <w:szCs w:val="24"/>
          <w:lang w:eastAsia="en-GB"/>
        </w:rPr>
        <w:t>RGB:</w:t>
      </w:r>
      <w:r w:rsidRPr="00B609BF">
        <w:rPr>
          <w:szCs w:val="24"/>
          <w:lang w:eastAsia="en-GB"/>
        </w:rPr>
        <w:t xml:space="preserve"> grey can be chosen; yellow 254 / 210/ 62</w:t>
      </w:r>
      <w:r w:rsidRPr="00B609BF">
        <w:rPr>
          <w:szCs w:val="24"/>
          <w:lang w:eastAsia="en-GB"/>
        </w:rPr>
        <w:br/>
      </w:r>
      <w:r w:rsidRPr="00B609BF">
        <w:rPr>
          <w:bCs/>
          <w:szCs w:val="24"/>
          <w:lang w:eastAsia="en-GB"/>
        </w:rPr>
        <w:t>CMYK:</w:t>
      </w:r>
      <w:r w:rsidRPr="00B609BF">
        <w:rPr>
          <w:szCs w:val="24"/>
          <w:lang w:eastAsia="en-GB"/>
        </w:rPr>
        <w:t> grey</w:t>
      </w:r>
      <w:r w:rsidRPr="00B609BF">
        <w:rPr>
          <w:b/>
          <w:bCs/>
          <w:szCs w:val="24"/>
          <w:lang w:eastAsia="en-GB"/>
        </w:rPr>
        <w:t xml:space="preserve"> </w:t>
      </w:r>
      <w:r w:rsidRPr="00B609BF">
        <w:rPr>
          <w:szCs w:val="24"/>
          <w:lang w:eastAsia="en-GB"/>
        </w:rPr>
        <w:t xml:space="preserve">can be chosen; yellow 1 / 16 / 86 / 0 </w:t>
      </w:r>
      <w:r w:rsidRPr="00B609BF">
        <w:rPr>
          <w:szCs w:val="24"/>
          <w:lang w:eastAsia="en-GB"/>
        </w:rPr>
        <w:br/>
        <w:t>Gradient as needed</w:t>
      </w:r>
    </w:p>
    <w:p w14:paraId="31AAC42D" w14:textId="52DB428B" w:rsidR="00F351FE" w:rsidRPr="00B609BF" w:rsidRDefault="00070B30" w:rsidP="00F351FE">
      <w:pPr>
        <w:keepNext/>
        <w:spacing w:before="120" w:after="120"/>
        <w:rPr>
          <w:b/>
          <w:szCs w:val="24"/>
        </w:rPr>
      </w:pPr>
      <w:r>
        <w:rPr>
          <w:b/>
          <w:i/>
          <w:szCs w:val="24"/>
        </w:rPr>
        <w:lastRenderedPageBreak/>
        <w:t>Designer declaration</w:t>
      </w:r>
      <w:r w:rsidR="00F351FE" w:rsidRPr="00B609BF">
        <w:rPr>
          <w:b/>
          <w:szCs w:val="24"/>
        </w:rPr>
        <w:t>:</w:t>
      </w:r>
    </w:p>
    <w:p w14:paraId="255C7833" w14:textId="3571B246" w:rsidR="00F351FE" w:rsidRPr="00B609BF" w:rsidRDefault="00F351FE" w:rsidP="00F351FE">
      <w:pPr>
        <w:spacing w:before="120" w:after="120"/>
        <w:rPr>
          <w:szCs w:val="24"/>
        </w:rPr>
      </w:pPr>
      <w:r w:rsidRPr="00B609BF">
        <w:rPr>
          <w:szCs w:val="24"/>
        </w:rPr>
        <w:t xml:space="preserve">Every design shall be accompanied by a signed declaration of the designer </w:t>
      </w:r>
      <w:r w:rsidR="00137FA5">
        <w:rPr>
          <w:szCs w:val="24"/>
        </w:rPr>
        <w:t>(see</w:t>
      </w:r>
      <w:r w:rsidR="00070B30">
        <w:rPr>
          <w:szCs w:val="24"/>
        </w:rPr>
        <w:t xml:space="preserve"> annex II</w:t>
      </w:r>
      <w:r w:rsidR="00115C69">
        <w:rPr>
          <w:szCs w:val="24"/>
        </w:rPr>
        <w:t>)</w:t>
      </w:r>
      <w:r w:rsidR="00070B30">
        <w:rPr>
          <w:szCs w:val="24"/>
        </w:rPr>
        <w:t xml:space="preserve"> that </w:t>
      </w:r>
      <w:r w:rsidRPr="00B609BF">
        <w:rPr>
          <w:szCs w:val="24"/>
        </w:rPr>
        <w:t xml:space="preserve">the Commission can use the submitted design for publication </w:t>
      </w:r>
      <w:r w:rsidR="00456A29">
        <w:rPr>
          <w:szCs w:val="24"/>
        </w:rPr>
        <w:t>through the appropriate channels, with a view to the final selection</w:t>
      </w:r>
      <w:r w:rsidR="007C3A68">
        <w:rPr>
          <w:szCs w:val="24"/>
        </w:rPr>
        <w:t>. S</w:t>
      </w:r>
      <w:r w:rsidRPr="00B609BF">
        <w:rPr>
          <w:szCs w:val="24"/>
        </w:rPr>
        <w:t>hould the submitted design be selected, the copyright of the design is transferred to the European Union, represented by the Commission.</w:t>
      </w:r>
      <w:r w:rsidR="00070B30">
        <w:rPr>
          <w:szCs w:val="24"/>
        </w:rPr>
        <w:t xml:space="preserve"> </w:t>
      </w:r>
      <w:r w:rsidRPr="00B609BF">
        <w:rPr>
          <w:szCs w:val="24"/>
        </w:rPr>
        <w:t xml:space="preserve">The Commission will subsequently authorise all issuing Member States to make use of the selected design for the purpose of striking the coins. </w:t>
      </w:r>
    </w:p>
    <w:p w14:paraId="50B31C4D" w14:textId="7A189AF7" w:rsidR="00B609BF" w:rsidRPr="00B609BF" w:rsidRDefault="00070B30" w:rsidP="00F351FE">
      <w:pPr>
        <w:spacing w:before="120" w:after="120"/>
        <w:rPr>
          <w:szCs w:val="24"/>
        </w:rPr>
      </w:pPr>
      <w:r>
        <w:rPr>
          <w:szCs w:val="24"/>
        </w:rPr>
        <w:t xml:space="preserve">Finally, </w:t>
      </w:r>
      <w:r w:rsidR="00115C69">
        <w:rPr>
          <w:szCs w:val="24"/>
        </w:rPr>
        <w:t>each designer</w:t>
      </w:r>
      <w:r>
        <w:rPr>
          <w:szCs w:val="24"/>
        </w:rPr>
        <w:t xml:space="preserve"> declaration shall also include the designer’s </w:t>
      </w:r>
      <w:r w:rsidR="007C3A68">
        <w:rPr>
          <w:szCs w:val="24"/>
        </w:rPr>
        <w:t xml:space="preserve">stance </w:t>
      </w:r>
      <w:r>
        <w:rPr>
          <w:szCs w:val="24"/>
        </w:rPr>
        <w:t xml:space="preserve">on </w:t>
      </w:r>
      <w:r w:rsidR="007C3A68">
        <w:rPr>
          <w:szCs w:val="24"/>
        </w:rPr>
        <w:t>disclosure of the submitted design to third parties by the Commission</w:t>
      </w:r>
      <w:r>
        <w:rPr>
          <w:szCs w:val="24"/>
        </w:rPr>
        <w:t xml:space="preserve">. The Commission needs this statement </w:t>
      </w:r>
      <w:r w:rsidR="007C3A68">
        <w:rPr>
          <w:szCs w:val="24"/>
        </w:rPr>
        <w:t xml:space="preserve">if </w:t>
      </w:r>
      <w:r>
        <w:rPr>
          <w:szCs w:val="24"/>
        </w:rPr>
        <w:t>public</w:t>
      </w:r>
      <w:r w:rsidR="007C3A68">
        <w:rPr>
          <w:szCs w:val="24"/>
        </w:rPr>
        <w:t xml:space="preserve"> requests access to EU documents pursuant to</w:t>
      </w:r>
      <w:r>
        <w:rPr>
          <w:szCs w:val="24"/>
        </w:rPr>
        <w:t xml:space="preserve"> Regulation </w:t>
      </w:r>
      <w:r w:rsidR="00115C69" w:rsidRPr="00115C69">
        <w:rPr>
          <w:szCs w:val="24"/>
        </w:rPr>
        <w:t>(EC) No 1049/2001</w:t>
      </w:r>
      <w:r w:rsidR="00115C69">
        <w:rPr>
          <w:szCs w:val="24"/>
        </w:rPr>
        <w:t>.</w:t>
      </w:r>
    </w:p>
    <w:p w14:paraId="2F600252" w14:textId="4620503F" w:rsidR="00F351FE" w:rsidRPr="00B609BF" w:rsidRDefault="00F351FE" w:rsidP="00F351FE">
      <w:pPr>
        <w:spacing w:after="0"/>
        <w:rPr>
          <w:szCs w:val="24"/>
        </w:rPr>
      </w:pPr>
      <w:r w:rsidRPr="00B609BF">
        <w:rPr>
          <w:rFonts w:ascii="Calibri" w:eastAsia="Calibri" w:hAnsi="Calibri"/>
          <w:szCs w:val="24"/>
        </w:rPr>
        <w:tab/>
      </w:r>
      <w:r w:rsidRPr="00B609BF">
        <w:rPr>
          <w:rFonts w:ascii="Calibri" w:eastAsia="Calibri" w:hAnsi="Calibri"/>
          <w:szCs w:val="24"/>
        </w:rPr>
        <w:tab/>
      </w:r>
      <w:r w:rsidRPr="00B609BF">
        <w:rPr>
          <w:rFonts w:ascii="Calibri" w:eastAsia="Calibri" w:hAnsi="Calibri"/>
          <w:szCs w:val="24"/>
        </w:rPr>
        <w:tab/>
      </w:r>
    </w:p>
    <w:p w14:paraId="1145D70A" w14:textId="77777777" w:rsidR="007E1864" w:rsidRPr="00B609BF" w:rsidRDefault="007E1864">
      <w:pPr>
        <w:rPr>
          <w:szCs w:val="24"/>
        </w:rPr>
      </w:pPr>
    </w:p>
    <w:sectPr w:rsidR="007E1864" w:rsidRPr="00B609BF" w:rsidSect="00E20118">
      <w:footerReference w:type="default" r:id="rId11"/>
      <w:headerReference w:type="first" r:id="rId12"/>
      <w:footerReference w:type="first" r:id="rId13"/>
      <w:pgSz w:w="11906" w:h="16838"/>
      <w:pgMar w:top="1440" w:right="1440" w:bottom="1440" w:left="1800"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7C59" w14:textId="77777777" w:rsidR="00F74D51" w:rsidRDefault="00F74D51">
      <w:pPr>
        <w:spacing w:after="0"/>
      </w:pPr>
      <w:r>
        <w:separator/>
      </w:r>
    </w:p>
  </w:endnote>
  <w:endnote w:type="continuationSeparator" w:id="0">
    <w:p w14:paraId="4374B83E" w14:textId="77777777" w:rsidR="00F74D51" w:rsidRDefault="00F74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D9F8" w14:textId="734E758B" w:rsidR="00B42D2F" w:rsidRDefault="00F351FE">
    <w:pPr>
      <w:pStyle w:val="Footer"/>
      <w:jc w:val="center"/>
    </w:pPr>
    <w:r>
      <w:fldChar w:fldCharType="begin"/>
    </w:r>
    <w:r>
      <w:instrText>PAGE</w:instrText>
    </w:r>
    <w:r>
      <w:fldChar w:fldCharType="separate"/>
    </w:r>
    <w:r w:rsidR="00B443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42E7" w14:textId="77777777" w:rsidR="00B42D2F" w:rsidRDefault="00F74D51" w:rsidP="00531417">
    <w:pPr>
      <w:spacing w:after="0"/>
      <w:rPr>
        <w:sz w:val="22"/>
        <w:szCs w:val="22"/>
      </w:rPr>
    </w:pPr>
  </w:p>
  <w:p w14:paraId="1805829E" w14:textId="77777777" w:rsidR="00B42D2F" w:rsidRDefault="00F74D51" w:rsidP="00531417">
    <w:pPr>
      <w:spacing w:after="0"/>
      <w:rPr>
        <w:sz w:val="22"/>
        <w:szCs w:val="22"/>
      </w:rPr>
    </w:pPr>
  </w:p>
  <w:p w14:paraId="2670B40D" w14:textId="77777777" w:rsidR="00B42D2F" w:rsidRDefault="00F74D51" w:rsidP="00531417">
    <w:pPr>
      <w:spacing w:after="0"/>
      <w:rPr>
        <w:sz w:val="22"/>
        <w:szCs w:val="22"/>
      </w:rPr>
    </w:pPr>
  </w:p>
  <w:p w14:paraId="4CB82998" w14:textId="77777777" w:rsidR="00B42D2F" w:rsidRDefault="00F74D51" w:rsidP="00531417">
    <w:pPr>
      <w:spacing w:after="0"/>
      <w:rPr>
        <w:sz w:val="22"/>
        <w:szCs w:val="22"/>
        <w:lang w:val="it-IT"/>
      </w:rPr>
    </w:pPr>
  </w:p>
  <w:p w14:paraId="50208203" w14:textId="77777777" w:rsidR="00B42D2F" w:rsidRPr="00531417" w:rsidRDefault="00F74D51" w:rsidP="00531417">
    <w:pPr>
      <w:spacing w:after="0"/>
      <w:rPr>
        <w:sz w:val="22"/>
        <w:szCs w:val="22"/>
        <w:lang w:val="it-IT"/>
      </w:rPr>
    </w:pPr>
  </w:p>
  <w:p w14:paraId="0A28861C" w14:textId="77777777" w:rsidR="00B42D2F" w:rsidRPr="00531417" w:rsidRDefault="00F351FE">
    <w:pPr>
      <w:pStyle w:val="Footer"/>
      <w:rPr>
        <w:lang w:val="it-IT"/>
      </w:rPr>
    </w:pPr>
    <w:r w:rsidRPr="00531417">
      <w:rPr>
        <w:lang w:val="fr-FR"/>
      </w:rPr>
      <w:t xml:space="preserve">Commission européenne, B-1049 Bruxelles / Europese Commissie, B-1049 Brussel - Belgium. </w:t>
    </w:r>
    <w:r w:rsidRPr="00531417">
      <w:rPr>
        <w:lang w:val="it-IT"/>
      </w:rPr>
      <w:t>Telephone: (32-2) 299 11 11.</w:t>
    </w:r>
    <w:r>
      <w:rPr>
        <w:noProof/>
        <w:lang w:val="it-IT"/>
      </w:rPr>
      <w:br/>
      <w:t>Office: CHAR 11/112</w:t>
    </w:r>
    <w:r w:rsidRPr="00531417">
      <w:rPr>
        <w:noProof/>
        <w:lang w:val="it-IT"/>
      </w:rPr>
      <w:t>. T</w:t>
    </w:r>
    <w:r>
      <w:rPr>
        <w:noProof/>
        <w:lang w:val="it-IT"/>
      </w:rPr>
      <w:t>elephone: direct line (32-2) 296 97 85</w:t>
    </w:r>
    <w:r w:rsidRPr="00531417">
      <w:rPr>
        <w:noProof/>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246F9" w14:textId="77777777" w:rsidR="00F74D51" w:rsidRDefault="00F74D51">
      <w:pPr>
        <w:spacing w:after="0"/>
      </w:pPr>
      <w:r>
        <w:separator/>
      </w:r>
    </w:p>
  </w:footnote>
  <w:footnote w:type="continuationSeparator" w:id="0">
    <w:p w14:paraId="563B558A" w14:textId="77777777" w:rsidR="00F74D51" w:rsidRDefault="00F74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78D1" w14:textId="77777777" w:rsidR="00B42D2F" w:rsidRDefault="00F74D5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351FE"/>
    <w:rsid w:val="00070B30"/>
    <w:rsid w:val="000A3489"/>
    <w:rsid w:val="000F7637"/>
    <w:rsid w:val="00115C69"/>
    <w:rsid w:val="00137FA5"/>
    <w:rsid w:val="00144328"/>
    <w:rsid w:val="002E540D"/>
    <w:rsid w:val="0034559F"/>
    <w:rsid w:val="00456A29"/>
    <w:rsid w:val="004C74F7"/>
    <w:rsid w:val="004D0F71"/>
    <w:rsid w:val="0064329A"/>
    <w:rsid w:val="006435A5"/>
    <w:rsid w:val="007C3A68"/>
    <w:rsid w:val="007E1864"/>
    <w:rsid w:val="00941D21"/>
    <w:rsid w:val="009B5C32"/>
    <w:rsid w:val="00A83FAF"/>
    <w:rsid w:val="00B4438E"/>
    <w:rsid w:val="00B609BF"/>
    <w:rsid w:val="00B82734"/>
    <w:rsid w:val="00BC5C0E"/>
    <w:rsid w:val="00D441AD"/>
    <w:rsid w:val="00D931AA"/>
    <w:rsid w:val="00DB1C86"/>
    <w:rsid w:val="00EA15AF"/>
    <w:rsid w:val="00F351FE"/>
    <w:rsid w:val="00F62FD6"/>
    <w:rsid w:val="00F7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F7F2"/>
  <w15:docId w15:val="{F36D7771-E024-4B15-BCC8-F679D729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FE"/>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1FE"/>
    <w:pPr>
      <w:spacing w:after="0"/>
      <w:ind w:right="-567"/>
      <w:jc w:val="left"/>
    </w:pPr>
    <w:rPr>
      <w:rFonts w:ascii="Arial" w:hAnsi="Arial"/>
      <w:sz w:val="16"/>
    </w:rPr>
  </w:style>
  <w:style w:type="character" w:customStyle="1" w:styleId="FooterChar">
    <w:name w:val="Footer Char"/>
    <w:basedOn w:val="DefaultParagraphFont"/>
    <w:link w:val="Footer"/>
    <w:rsid w:val="00F351FE"/>
    <w:rPr>
      <w:rFonts w:ascii="Arial" w:eastAsia="Times New Roman" w:hAnsi="Arial" w:cs="Times New Roman"/>
      <w:sz w:val="16"/>
      <w:szCs w:val="20"/>
    </w:rPr>
  </w:style>
  <w:style w:type="paragraph" w:styleId="Header">
    <w:name w:val="header"/>
    <w:basedOn w:val="Normal"/>
    <w:link w:val="HeaderChar"/>
    <w:rsid w:val="00F351FE"/>
    <w:pPr>
      <w:tabs>
        <w:tab w:val="center" w:pos="4153"/>
        <w:tab w:val="right" w:pos="8306"/>
      </w:tabs>
    </w:pPr>
  </w:style>
  <w:style w:type="character" w:customStyle="1" w:styleId="HeaderChar">
    <w:name w:val="Header Char"/>
    <w:basedOn w:val="DefaultParagraphFont"/>
    <w:link w:val="Header"/>
    <w:rsid w:val="00F351FE"/>
    <w:rPr>
      <w:rFonts w:ascii="Times New Roman" w:eastAsia="Times New Roman" w:hAnsi="Times New Roman" w:cs="Times New Roman"/>
      <w:sz w:val="24"/>
      <w:szCs w:val="20"/>
    </w:rPr>
  </w:style>
  <w:style w:type="paragraph" w:styleId="ListBullet">
    <w:name w:val="List Bullet"/>
    <w:basedOn w:val="Normal"/>
    <w:rsid w:val="00F351FE"/>
    <w:pPr>
      <w:numPr>
        <w:numId w:val="1"/>
      </w:numPr>
    </w:pPr>
  </w:style>
  <w:style w:type="character" w:styleId="CommentReference">
    <w:name w:val="annotation reference"/>
    <w:basedOn w:val="DefaultParagraphFont"/>
    <w:uiPriority w:val="99"/>
    <w:semiHidden/>
    <w:unhideWhenUsed/>
    <w:rsid w:val="000A3489"/>
    <w:rPr>
      <w:sz w:val="16"/>
      <w:szCs w:val="16"/>
    </w:rPr>
  </w:style>
  <w:style w:type="paragraph" w:styleId="CommentText">
    <w:name w:val="annotation text"/>
    <w:basedOn w:val="Normal"/>
    <w:link w:val="CommentTextChar"/>
    <w:uiPriority w:val="99"/>
    <w:semiHidden/>
    <w:unhideWhenUsed/>
    <w:rsid w:val="000A3489"/>
    <w:rPr>
      <w:sz w:val="20"/>
    </w:rPr>
  </w:style>
  <w:style w:type="character" w:customStyle="1" w:styleId="CommentTextChar">
    <w:name w:val="Comment Text Char"/>
    <w:basedOn w:val="DefaultParagraphFont"/>
    <w:link w:val="CommentText"/>
    <w:uiPriority w:val="99"/>
    <w:semiHidden/>
    <w:rsid w:val="000A3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489"/>
    <w:rPr>
      <w:b/>
      <w:bCs/>
    </w:rPr>
  </w:style>
  <w:style w:type="character" w:customStyle="1" w:styleId="CommentSubjectChar">
    <w:name w:val="Comment Subject Char"/>
    <w:basedOn w:val="CommentTextChar"/>
    <w:link w:val="CommentSubject"/>
    <w:uiPriority w:val="99"/>
    <w:semiHidden/>
    <w:rsid w:val="000A34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34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89"/>
    <w:rPr>
      <w:rFonts w:ascii="Segoe UI" w:eastAsia="Times New Roman" w:hAnsi="Segoe UI" w:cs="Segoe UI"/>
      <w:sz w:val="18"/>
      <w:szCs w:val="18"/>
    </w:rPr>
  </w:style>
  <w:style w:type="character" w:styleId="Hyperlink">
    <w:name w:val="Hyperlink"/>
    <w:basedOn w:val="DefaultParagraphFont"/>
    <w:uiPriority w:val="99"/>
    <w:unhideWhenUsed/>
    <w:rsid w:val="004D0F71"/>
    <w:rPr>
      <w:color w:val="0000FF"/>
      <w:u w:val="single"/>
    </w:rPr>
  </w:style>
  <w:style w:type="paragraph" w:styleId="ListParagraph">
    <w:name w:val="List Paragraph"/>
    <w:basedOn w:val="Normal"/>
    <w:uiPriority w:val="34"/>
    <w:qFormat/>
    <w:rsid w:val="0011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youth/policy/implementation/dialogue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programmes/erasmus-plus/node_en" TargetMode="External"/><Relationship Id="rId4" Type="http://schemas.openxmlformats.org/officeDocument/2006/relationships/settings" Target="settings.xml"/><Relationship Id="rId9" Type="http://schemas.openxmlformats.org/officeDocument/2006/relationships/hyperlink" Target="https://ec.europa.eu/education/policies/international-cooperation/international-cooperation-and-policy-dialogue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E4C2-B919-48B7-B5B7-655F4E20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STOICESCU Irina (ECFIN)</dc:creator>
  <cp:lastModifiedBy>Anna G Markidou</cp:lastModifiedBy>
  <cp:revision>2</cp:revision>
  <dcterms:created xsi:type="dcterms:W3CDTF">2020-09-24T12:22:00Z</dcterms:created>
  <dcterms:modified xsi:type="dcterms:W3CDTF">2020-09-24T12:22:00Z</dcterms:modified>
</cp:coreProperties>
</file>